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469F7899" w:rsidR="00D4241F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CE377D">
        <w:rPr>
          <w:rFonts w:ascii="Cambria" w:hAnsi="Cambria"/>
          <w:sz w:val="24"/>
          <w:szCs w:val="24"/>
        </w:rPr>
        <w:t>2</w:t>
      </w:r>
      <w:r w:rsidR="005879D0">
        <w:rPr>
          <w:rFonts w:ascii="Cambria" w:hAnsi="Cambria"/>
          <w:sz w:val="24"/>
          <w:szCs w:val="24"/>
        </w:rPr>
        <w:t>2019/15.11</w:t>
      </w:r>
      <w:r w:rsidR="006806E2" w:rsidRPr="009A1727">
        <w:rPr>
          <w:rFonts w:ascii="Cambria" w:hAnsi="Cambria"/>
          <w:sz w:val="24"/>
          <w:szCs w:val="24"/>
        </w:rPr>
        <w:t>.2024</w:t>
      </w:r>
    </w:p>
    <w:p w14:paraId="6EE27047" w14:textId="77777777" w:rsidR="003D11F9" w:rsidRPr="009A1727" w:rsidRDefault="003D11F9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p w14:paraId="12DB6D28" w14:textId="7FFA46CE" w:rsidR="00D4241F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3F7B4625" w14:textId="77777777" w:rsidR="003D11F9" w:rsidRPr="009A1727" w:rsidRDefault="003D11F9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</w:p>
    <w:p w14:paraId="06F74983" w14:textId="1910A8DD" w:rsidR="00D4241F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016612">
        <w:rPr>
          <w:rFonts w:ascii="Cambria" w:hAnsi="Cambria"/>
          <w:sz w:val="24"/>
          <w:szCs w:val="24"/>
        </w:rPr>
        <w:t xml:space="preserve">21.11.2024 </w:t>
      </w:r>
      <w:proofErr w:type="spellStart"/>
      <w:r w:rsidR="00016612">
        <w:rPr>
          <w:rFonts w:ascii="Cambria" w:hAnsi="Cambria"/>
          <w:sz w:val="24"/>
          <w:szCs w:val="24"/>
        </w:rPr>
        <w:t>ora</w:t>
      </w:r>
      <w:proofErr w:type="spellEnd"/>
      <w:r w:rsidR="00016612">
        <w:rPr>
          <w:rFonts w:ascii="Cambria" w:hAnsi="Cambria"/>
          <w:sz w:val="24"/>
          <w:szCs w:val="24"/>
        </w:rPr>
        <w:t xml:space="preserve"> 11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sala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40AF3DA8" w14:textId="77777777" w:rsidR="003D11F9" w:rsidRPr="009A1727" w:rsidRDefault="003D11F9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3D11F9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3398DCBB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520F89">
              <w:rPr>
                <w:rFonts w:ascii="Cambria" w:hAnsi="Cambria"/>
                <w:b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0A58B346" w14:textId="77777777" w:rsidR="003D11F9" w:rsidRPr="00F10A88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it-IT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F10A88">
              <w:rPr>
                <w:rFonts w:ascii="Cambria" w:hAnsi="Cambria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r w:rsidRPr="00F10A88">
              <w:rPr>
                <w:rFonts w:ascii="Cambria" w:hAnsi="Cambria"/>
                <w:sz w:val="24"/>
                <w:szCs w:val="24"/>
                <w:lang w:val="it-IT"/>
              </w:rPr>
              <w:t>aprobarea contului de execuţie al bugetului comunei Feleacu la 30  septembrie 2024</w:t>
            </w:r>
          </w:p>
          <w:p w14:paraId="47C5441B" w14:textId="56C97287" w:rsidR="003D11F9" w:rsidRPr="009C77BC" w:rsidRDefault="003D11F9" w:rsidP="003D11F9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07E246E5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A51F301" w14:textId="0EC67717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ED37429" w14:textId="77777777" w:rsidR="003D11F9" w:rsidRPr="00F10A88" w:rsidRDefault="003D11F9" w:rsidP="003D11F9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646FA8DB" w14:textId="411C3BAF" w:rsidR="003D11F9" w:rsidRPr="009C77BC" w:rsidRDefault="003D11F9" w:rsidP="003D11F9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3D11F9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32A8CE7" w:rsidR="003D11F9" w:rsidRPr="009C77BC" w:rsidRDefault="003D11F9" w:rsidP="003D11F9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2</w:t>
            </w:r>
          </w:p>
        </w:tc>
        <w:tc>
          <w:tcPr>
            <w:tcW w:w="6091" w:type="dxa"/>
            <w:shd w:val="clear" w:color="auto" w:fill="auto"/>
          </w:tcPr>
          <w:p w14:paraId="358FF276" w14:textId="426C5C13" w:rsidR="003D11F9" w:rsidRPr="009C77BC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color w:val="000000" w:themeColor="text1"/>
                <w:sz w:val="24"/>
                <w:szCs w:val="24"/>
                <w:lang w:val="ro-RO"/>
              </w:rPr>
              <w:t>Proiect de hotărâre</w:t>
            </w: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 privind aprobarea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achiziţionării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 de servicii juridice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consultanţă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,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asistenţă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şi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 de reprezentare a Comisiei Locale de aplicare a Legilor fondului funciar a comunei  Feleacu în dosarele  aflate pe rolul instanțelor de judecată</w:t>
            </w:r>
          </w:p>
        </w:tc>
        <w:tc>
          <w:tcPr>
            <w:tcW w:w="2505" w:type="dxa"/>
            <w:shd w:val="clear" w:color="auto" w:fill="auto"/>
          </w:tcPr>
          <w:p w14:paraId="52151CF1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5F2CBAC7" w14:textId="0F0433CD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2F4408AE" w14:textId="77777777" w:rsidR="003D11F9" w:rsidRPr="00F10A88" w:rsidRDefault="003D11F9" w:rsidP="003D11F9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nr.1</w:t>
            </w:r>
          </w:p>
          <w:p w14:paraId="57255205" w14:textId="600DC071" w:rsidR="003D11F9" w:rsidRPr="009C77BC" w:rsidRDefault="003D11F9" w:rsidP="003D11F9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Comisia nr.3</w:t>
            </w:r>
          </w:p>
        </w:tc>
      </w:tr>
      <w:tr w:rsidR="003D11F9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0A9CA8F6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216FE411" w14:textId="370AAD26" w:rsidR="003D11F9" w:rsidRPr="009C77BC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F10A88">
              <w:rPr>
                <w:rFonts w:ascii="Cambria" w:hAnsi="Cambria"/>
                <w:sz w:val="24"/>
                <w:szCs w:val="24"/>
              </w:rPr>
              <w:t xml:space="preserve">   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împuternicirea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Primarului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Comunei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Feleacu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în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vederea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exprimării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angajamentului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refacerea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din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resurse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proprii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drumului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,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în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situația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intervenții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la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>conducta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  <w:lang w:bidi="ro-RO"/>
              </w:rPr>
              <w:t xml:space="preserve"> de transport gaze DN 300 Turda – Cluj-Napoca</w:t>
            </w:r>
          </w:p>
        </w:tc>
        <w:tc>
          <w:tcPr>
            <w:tcW w:w="2505" w:type="dxa"/>
            <w:shd w:val="clear" w:color="auto" w:fill="auto"/>
          </w:tcPr>
          <w:p w14:paraId="2FA16518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B62DD67" w14:textId="5DB01ED6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66C8E8" w14:textId="489BDEC5" w:rsidR="003D11F9" w:rsidRPr="009C77BC" w:rsidRDefault="003D11F9" w:rsidP="003D11F9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omisia nr.3</w:t>
            </w:r>
          </w:p>
        </w:tc>
      </w:tr>
      <w:tr w:rsidR="003D11F9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1EBDFC0B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58BE5DF" w14:textId="797AE89E" w:rsidR="003D11F9" w:rsidRPr="009C77BC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F10A88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F10A88">
              <w:rPr>
                <w:rFonts w:ascii="Cambria" w:eastAsia="Times New Roman" w:hAnsi="Cambria"/>
                <w:b/>
                <w:bCs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proiectelor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:EXTINDERE CONDUCTE,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F10A88">
              <w:rPr>
                <w:rFonts w:ascii="Cambria" w:hAnsi="Cambria"/>
                <w:sz w:val="24"/>
                <w:szCs w:val="24"/>
              </w:rPr>
              <w:t>BRANȘAMENTE   SI RACORDURI  LA UTILITATI</w:t>
            </w:r>
          </w:p>
        </w:tc>
        <w:tc>
          <w:tcPr>
            <w:tcW w:w="2505" w:type="dxa"/>
            <w:shd w:val="clear" w:color="auto" w:fill="auto"/>
          </w:tcPr>
          <w:p w14:paraId="7B3ADF32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6D97F6C" w14:textId="1C916D4A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21A678F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1457D62B" w14:textId="7551FC93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3D11F9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1A038ADB" w:rsidR="003D11F9" w:rsidRPr="009C77BC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14F2A5FD" w:rsidR="003D11F9" w:rsidRPr="009C77BC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executării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lucrări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domeniul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public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şi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privat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lucrărilor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: DESCHIDERE   ACCES LA STRADA LOCALITĂȚII,AMPLASERE RACORDURI ȘI BRANȘAMENTE </w:t>
            </w:r>
          </w:p>
        </w:tc>
        <w:tc>
          <w:tcPr>
            <w:tcW w:w="2505" w:type="dxa"/>
            <w:shd w:val="clear" w:color="auto" w:fill="auto"/>
          </w:tcPr>
          <w:p w14:paraId="3BD697C1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12948E65" w14:textId="32888D79" w:rsidR="003D11F9" w:rsidRPr="009C77BC" w:rsidRDefault="003D11F9" w:rsidP="003D11F9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3BA823F0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omisia nr.2</w:t>
            </w:r>
          </w:p>
          <w:p w14:paraId="68277E86" w14:textId="3A82113B" w:rsidR="003D11F9" w:rsidRPr="009C77BC" w:rsidRDefault="003D11F9" w:rsidP="003D11F9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</w:p>
        </w:tc>
      </w:tr>
      <w:tr w:rsidR="003D11F9" w:rsidRPr="004A56B9" w14:paraId="74316530" w14:textId="77777777" w:rsidTr="00F97399">
        <w:tc>
          <w:tcPr>
            <w:tcW w:w="568" w:type="dxa"/>
            <w:shd w:val="clear" w:color="auto" w:fill="auto"/>
          </w:tcPr>
          <w:p w14:paraId="2BA1D7EB" w14:textId="2603C605" w:rsidR="003D11F9" w:rsidRDefault="003D11F9" w:rsidP="003D11F9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6.</w:t>
            </w:r>
          </w:p>
        </w:tc>
        <w:tc>
          <w:tcPr>
            <w:tcW w:w="6091" w:type="dxa"/>
            <w:shd w:val="clear" w:color="auto" w:fill="auto"/>
          </w:tcPr>
          <w:p w14:paraId="7AE50D69" w14:textId="79D070B9" w:rsidR="003D11F9" w:rsidRPr="00F10A88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rectificarea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bugetului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venituri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cheltuieli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al 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anul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2024</w:t>
            </w:r>
          </w:p>
        </w:tc>
        <w:tc>
          <w:tcPr>
            <w:tcW w:w="2505" w:type="dxa"/>
            <w:shd w:val="clear" w:color="auto" w:fill="auto"/>
          </w:tcPr>
          <w:p w14:paraId="4C817147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40407A71" w14:textId="1CE3853D" w:rsidR="003D11F9" w:rsidRPr="00F10A88" w:rsidRDefault="003D11F9" w:rsidP="003D11F9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04A6204A" w14:textId="5F7B43D5" w:rsidR="003D11F9" w:rsidRPr="00F10A88" w:rsidRDefault="003D11F9" w:rsidP="003D11F9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eastAsia="Times New Roman" w:hAnsi="Cambria"/>
                <w:sz w:val="24"/>
                <w:szCs w:val="24"/>
                <w:lang w:val="ro-RO"/>
              </w:rPr>
              <w:t>Comisia nr.1</w:t>
            </w:r>
          </w:p>
        </w:tc>
      </w:tr>
      <w:tr w:rsidR="003D11F9" w:rsidRPr="004A56B9" w14:paraId="4A4DE4D7" w14:textId="77777777" w:rsidTr="00F97399">
        <w:tc>
          <w:tcPr>
            <w:tcW w:w="568" w:type="dxa"/>
            <w:shd w:val="clear" w:color="auto" w:fill="auto"/>
          </w:tcPr>
          <w:p w14:paraId="5F0326F2" w14:textId="2950E3EC" w:rsidR="003D11F9" w:rsidRDefault="003D11F9" w:rsidP="003D11F9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lastRenderedPageBreak/>
              <w:t>7.</w:t>
            </w:r>
          </w:p>
        </w:tc>
        <w:tc>
          <w:tcPr>
            <w:tcW w:w="6091" w:type="dxa"/>
            <w:shd w:val="clear" w:color="auto" w:fill="auto"/>
          </w:tcPr>
          <w:p w14:paraId="16F9E83C" w14:textId="1F44AA14" w:rsidR="003D11F9" w:rsidRPr="00F10A88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F10A88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încheierii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contracte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achiziție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publică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directă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inchiriere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utilaje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serviciul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public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salubrizare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curatarea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transportul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zapezii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caile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publice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mentinerea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in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functiune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acestora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timp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polei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sau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inghet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pe raza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judetul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Cluj,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până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la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delegarea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sz w:val="24"/>
                <w:szCs w:val="24"/>
              </w:rPr>
              <w:t>serviciului</w:t>
            </w:r>
            <w:proofErr w:type="spellEnd"/>
            <w:r w:rsidRPr="00F10A88">
              <w:rPr>
                <w:rFonts w:ascii="Cambria" w:hAnsi="Cambria"/>
                <w:sz w:val="24"/>
                <w:szCs w:val="24"/>
              </w:rPr>
              <w:t xml:space="preserve"> public. </w:t>
            </w:r>
          </w:p>
        </w:tc>
        <w:tc>
          <w:tcPr>
            <w:tcW w:w="2505" w:type="dxa"/>
            <w:shd w:val="clear" w:color="auto" w:fill="auto"/>
          </w:tcPr>
          <w:p w14:paraId="283D96D6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Vicep</w:t>
            </w: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rimar</w:t>
            </w:r>
          </w:p>
          <w:p w14:paraId="0C4F02DE" w14:textId="5DD053DA" w:rsidR="003D11F9" w:rsidRPr="00F10A88" w:rsidRDefault="003D11F9" w:rsidP="003D11F9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Soos</w:t>
            </w:r>
            <w:proofErr w:type="spellEnd"/>
            <w:r>
              <w:rPr>
                <w:rFonts w:ascii="Cambria" w:hAnsi="Cambria"/>
                <w:sz w:val="24"/>
                <w:szCs w:val="24"/>
                <w:lang w:val="ro-RO"/>
              </w:rPr>
              <w:t xml:space="preserve"> Sandor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ro-RO"/>
              </w:rPr>
              <w:t>Laszlo</w:t>
            </w:r>
            <w:proofErr w:type="spellEnd"/>
          </w:p>
        </w:tc>
        <w:tc>
          <w:tcPr>
            <w:tcW w:w="2105" w:type="dxa"/>
            <w:shd w:val="clear" w:color="auto" w:fill="auto"/>
          </w:tcPr>
          <w:p w14:paraId="1C2DB04F" w14:textId="77777777" w:rsidR="003D11F9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omisia nr.1</w:t>
            </w:r>
          </w:p>
          <w:p w14:paraId="1FD17F92" w14:textId="77777777" w:rsidR="003D11F9" w:rsidRPr="00F10A88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Comisia nr.2</w:t>
            </w:r>
          </w:p>
          <w:p w14:paraId="4E2DB38C" w14:textId="4317D8B5" w:rsidR="003D11F9" w:rsidRPr="00F10A88" w:rsidRDefault="003D11F9" w:rsidP="003D11F9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 w:rsidRPr="00F10A88">
              <w:rPr>
                <w:rFonts w:ascii="Cambria" w:hAnsi="Cambria"/>
                <w:sz w:val="24"/>
                <w:szCs w:val="24"/>
                <w:lang w:val="ro-RO"/>
              </w:rPr>
              <w:t>Comisia nr.3</w:t>
            </w:r>
          </w:p>
        </w:tc>
      </w:tr>
      <w:tr w:rsidR="003D11F9" w:rsidRPr="004A56B9" w14:paraId="6E42F7E8" w14:textId="77777777" w:rsidTr="00F97399">
        <w:tc>
          <w:tcPr>
            <w:tcW w:w="568" w:type="dxa"/>
            <w:shd w:val="clear" w:color="auto" w:fill="auto"/>
          </w:tcPr>
          <w:p w14:paraId="6DC391C2" w14:textId="1A2D6171" w:rsidR="003D11F9" w:rsidRDefault="003D11F9" w:rsidP="003D11F9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8.</w:t>
            </w:r>
          </w:p>
        </w:tc>
        <w:tc>
          <w:tcPr>
            <w:tcW w:w="6091" w:type="dxa"/>
            <w:shd w:val="clear" w:color="auto" w:fill="auto"/>
          </w:tcPr>
          <w:p w14:paraId="02BBB8A4" w14:textId="59FFF4A8" w:rsidR="003D11F9" w:rsidRPr="00F10A88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aprobarea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indicatorilor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tehnico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-economici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actualizați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devizului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general 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actualizat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obiectivul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„RETEA DE CANALIZARE MENAJERA SI RACORDURI DE CANALIZARE IN LOCALITATEA GHEORGHIENI, COMUNA FELEACU, JUD. CLUJ”,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aprobat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finanțare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prin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Programul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național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investiții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„Anghel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Saligny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”, precum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sumei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reprezentând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categoriile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cheltuieli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finanțate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de la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bugetul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local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realizarea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94658">
              <w:rPr>
                <w:rFonts w:ascii="Cambria" w:hAnsi="Cambria"/>
                <w:sz w:val="24"/>
                <w:szCs w:val="24"/>
              </w:rPr>
              <w:t>obiectivului</w:t>
            </w:r>
            <w:proofErr w:type="spellEnd"/>
            <w:r w:rsidRPr="00D94658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shd w:val="clear" w:color="auto" w:fill="auto"/>
          </w:tcPr>
          <w:p w14:paraId="4B59AB3F" w14:textId="77777777" w:rsidR="003D11F9" w:rsidRPr="00251583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76A7141C" w14:textId="4A0B5E09" w:rsidR="003D11F9" w:rsidRDefault="003D11F9" w:rsidP="003D11F9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31236A6B" w14:textId="77777777" w:rsidR="003D11F9" w:rsidRDefault="003D11F9" w:rsidP="003D11F9">
            <w:pPr>
              <w:pStyle w:val="NoSpacing1"/>
              <w:rPr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>
              <w:rPr>
                <w:lang w:val="ro-RO"/>
              </w:rPr>
              <w:t>omisia nr.1</w:t>
            </w:r>
          </w:p>
          <w:p w14:paraId="36B65AF8" w14:textId="77777777" w:rsidR="003D11F9" w:rsidRDefault="003D11F9" w:rsidP="003D11F9">
            <w:pPr>
              <w:pStyle w:val="NoSpacing1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nr.2</w:t>
            </w:r>
          </w:p>
          <w:p w14:paraId="02BB80A5" w14:textId="0CCCBC9B" w:rsidR="003D11F9" w:rsidRPr="00F10A88" w:rsidRDefault="003D11F9" w:rsidP="003D11F9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Comisia nr.3</w:t>
            </w:r>
          </w:p>
        </w:tc>
      </w:tr>
      <w:tr w:rsidR="003D11F9" w:rsidRPr="004A56B9" w14:paraId="6D083FB0" w14:textId="77777777" w:rsidTr="00F97399">
        <w:tc>
          <w:tcPr>
            <w:tcW w:w="568" w:type="dxa"/>
            <w:shd w:val="clear" w:color="auto" w:fill="auto"/>
          </w:tcPr>
          <w:p w14:paraId="0F7B29F1" w14:textId="708030B4" w:rsidR="003D11F9" w:rsidRDefault="003D11F9" w:rsidP="003D11F9">
            <w:pPr>
              <w:pStyle w:val="NoSpacing1"/>
              <w:rPr>
                <w:rFonts w:ascii="Cambria" w:eastAsia="Times New Roman" w:hAnsi="Cambria"/>
                <w:bCs/>
                <w:lang w:val="ro-RO"/>
              </w:rPr>
            </w:pPr>
            <w:r>
              <w:rPr>
                <w:rFonts w:ascii="Cambria" w:eastAsia="Times New Roman" w:hAnsi="Cambria"/>
                <w:bCs/>
                <w:lang w:val="ro-RO"/>
              </w:rPr>
              <w:t>9.</w:t>
            </w:r>
          </w:p>
        </w:tc>
        <w:tc>
          <w:tcPr>
            <w:tcW w:w="6091" w:type="dxa"/>
            <w:shd w:val="clear" w:color="auto" w:fill="auto"/>
          </w:tcPr>
          <w:p w14:paraId="00D96DA5" w14:textId="77777777" w:rsidR="003D11F9" w:rsidRPr="000A0F8C" w:rsidRDefault="003D11F9" w:rsidP="003D11F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0A0F8C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privind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constatarea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încetării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drept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înainte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expirarea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duratei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normale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, a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mandatului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de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consilier</w:t>
            </w:r>
            <w:proofErr w:type="spellEnd"/>
            <w:r w:rsidRPr="00F10A88">
              <w:rPr>
                <w:rFonts w:ascii="Cambria" w:hAnsi="Cambria"/>
                <w:bCs/>
                <w:sz w:val="24"/>
                <w:szCs w:val="24"/>
              </w:rPr>
              <w:t xml:space="preserve"> local al </w:t>
            </w:r>
            <w:proofErr w:type="spellStart"/>
            <w:r w:rsidRPr="00F10A88">
              <w:rPr>
                <w:rFonts w:ascii="Cambria" w:hAnsi="Cambria"/>
                <w:bCs/>
                <w:sz w:val="24"/>
                <w:szCs w:val="24"/>
              </w:rPr>
              <w:t>doamnei</w:t>
            </w:r>
            <w:proofErr w:type="spellEnd"/>
            <w:r w:rsidRPr="000A0F8C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F8C">
              <w:rPr>
                <w:rFonts w:ascii="Cambria" w:hAnsi="Cambria"/>
                <w:sz w:val="24"/>
                <w:szCs w:val="24"/>
              </w:rPr>
              <w:t>Mascas</w:t>
            </w:r>
            <w:proofErr w:type="spellEnd"/>
            <w:r w:rsidRPr="000A0F8C">
              <w:rPr>
                <w:rFonts w:ascii="Cambria" w:hAnsi="Cambria"/>
                <w:sz w:val="24"/>
                <w:szCs w:val="24"/>
              </w:rPr>
              <w:t xml:space="preserve"> Mariana</w:t>
            </w:r>
          </w:p>
          <w:p w14:paraId="0304CA56" w14:textId="77777777" w:rsidR="003D11F9" w:rsidRDefault="003D11F9" w:rsidP="003D11F9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505" w:type="dxa"/>
            <w:shd w:val="clear" w:color="auto" w:fill="auto"/>
          </w:tcPr>
          <w:p w14:paraId="304FF6FC" w14:textId="77777777" w:rsidR="003D11F9" w:rsidRDefault="003D11F9" w:rsidP="003D11F9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69D2F92A" w14:textId="06C2E330" w:rsidR="003D11F9" w:rsidRPr="00251583" w:rsidRDefault="003D11F9" w:rsidP="003D11F9">
            <w:pPr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5DADBBBE" w14:textId="7D926BE8" w:rsidR="003D11F9" w:rsidRDefault="003D11F9" w:rsidP="003D11F9">
            <w:pPr>
              <w:rPr>
                <w:rFonts w:ascii="Cambria" w:eastAsia="Times New Roman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Comisia nr.3</w:t>
            </w:r>
          </w:p>
        </w:tc>
      </w:tr>
    </w:tbl>
    <w:p w14:paraId="7A06C682" w14:textId="77777777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16612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21367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D11F9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5879D0"/>
    <w:rsid w:val="006164E5"/>
    <w:rsid w:val="006222F1"/>
    <w:rsid w:val="00627951"/>
    <w:rsid w:val="00656817"/>
    <w:rsid w:val="006806E2"/>
    <w:rsid w:val="00710062"/>
    <w:rsid w:val="00715138"/>
    <w:rsid w:val="0073070A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3479C"/>
    <w:rsid w:val="00E92385"/>
    <w:rsid w:val="00EA0CD1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2024-07-17T05:55:00Z</cp:lastPrinted>
  <dcterms:created xsi:type="dcterms:W3CDTF">2024-11-15T14:17:00Z</dcterms:created>
  <dcterms:modified xsi:type="dcterms:W3CDTF">2024-11-15T14:17:00Z</dcterms:modified>
</cp:coreProperties>
</file>